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BA88C" w14:textId="77777777" w:rsidR="007E7A7A" w:rsidRDefault="007E7A7A">
      <w:pPr>
        <w:sectPr w:rsidR="007E7A7A">
          <w:headerReference w:type="default" r:id="rId8"/>
          <w:footerReference w:type="default" r:id="rId9"/>
          <w:type w:val="continuous"/>
          <w:pgSz w:w="12240" w:h="15840" w:code="1"/>
          <w:pgMar w:top="2340" w:right="1800" w:bottom="1170" w:left="1800" w:header="720" w:footer="720" w:gutter="0"/>
          <w:cols w:space="720"/>
        </w:sectPr>
      </w:pPr>
    </w:p>
    <w:p w14:paraId="73FDA5FF" w14:textId="489F4AB2" w:rsidR="0088133C" w:rsidRPr="00AF572B" w:rsidRDefault="007E7A7A">
      <w:pPr>
        <w:tabs>
          <w:tab w:val="left" w:pos="1170"/>
        </w:tabs>
        <w:rPr>
          <w:sz w:val="24"/>
        </w:rPr>
      </w:pPr>
      <w:r>
        <w:rPr>
          <w:b/>
          <w:sz w:val="24"/>
        </w:rPr>
        <w:t>TO:</w:t>
      </w:r>
      <w:r w:rsidR="006E69E8">
        <w:rPr>
          <w:b/>
          <w:sz w:val="24"/>
        </w:rPr>
        <w:tab/>
      </w:r>
      <w:r w:rsidR="0019002D">
        <w:rPr>
          <w:b/>
          <w:sz w:val="24"/>
        </w:rPr>
        <w:tab/>
      </w:r>
      <w:r w:rsidR="007C47C7">
        <w:rPr>
          <w:sz w:val="24"/>
        </w:rPr>
        <w:t>Dylan King</w:t>
      </w:r>
      <w:r w:rsidR="00CF6E8E">
        <w:rPr>
          <w:sz w:val="24"/>
        </w:rPr>
        <w:t>,</w:t>
      </w:r>
    </w:p>
    <w:p w14:paraId="64D62F1B" w14:textId="77777777" w:rsidR="0088133C" w:rsidRPr="00A36A2B" w:rsidRDefault="006E69E8">
      <w:pPr>
        <w:tabs>
          <w:tab w:val="left" w:pos="1170"/>
        </w:tabs>
        <w:rPr>
          <w:sz w:val="24"/>
        </w:rPr>
      </w:pPr>
      <w:r>
        <w:rPr>
          <w:b/>
          <w:sz w:val="24"/>
        </w:rPr>
        <w:tab/>
      </w:r>
      <w:r>
        <w:rPr>
          <w:b/>
          <w:sz w:val="24"/>
        </w:rPr>
        <w:tab/>
      </w:r>
      <w:r w:rsidR="00A36A2B" w:rsidRPr="00A36A2B">
        <w:rPr>
          <w:sz w:val="24"/>
        </w:rPr>
        <w:t xml:space="preserve">Legal </w:t>
      </w:r>
      <w:r w:rsidRPr="00A36A2B">
        <w:rPr>
          <w:sz w:val="24"/>
        </w:rPr>
        <w:t>Division</w:t>
      </w:r>
    </w:p>
    <w:p w14:paraId="07DA083D" w14:textId="77777777" w:rsidR="007E7A7A" w:rsidRDefault="007E7A7A">
      <w:pPr>
        <w:tabs>
          <w:tab w:val="left" w:pos="1170"/>
        </w:tabs>
        <w:rPr>
          <w:sz w:val="24"/>
        </w:rPr>
      </w:pPr>
      <w:r>
        <w:rPr>
          <w:sz w:val="24"/>
        </w:rPr>
        <w:tab/>
      </w:r>
      <w:r>
        <w:rPr>
          <w:sz w:val="24"/>
        </w:rPr>
        <w:tab/>
      </w:r>
    </w:p>
    <w:p w14:paraId="527AAF13" w14:textId="35D4ED20" w:rsidR="00600232" w:rsidRDefault="007E7A7A">
      <w:pPr>
        <w:tabs>
          <w:tab w:val="left" w:pos="1170"/>
        </w:tabs>
        <w:rPr>
          <w:sz w:val="24"/>
        </w:rPr>
      </w:pPr>
      <w:r>
        <w:rPr>
          <w:b/>
          <w:sz w:val="24"/>
        </w:rPr>
        <w:t>FROM:</w:t>
      </w:r>
      <w:r>
        <w:rPr>
          <w:sz w:val="24"/>
        </w:rPr>
        <w:tab/>
      </w:r>
      <w:r w:rsidR="005205CC">
        <w:rPr>
          <w:sz w:val="24"/>
        </w:rPr>
        <w:tab/>
      </w:r>
      <w:r w:rsidR="00600232">
        <w:rPr>
          <w:sz w:val="24"/>
        </w:rPr>
        <w:t>John Poole</w:t>
      </w:r>
      <w:r w:rsidR="00807770">
        <w:rPr>
          <w:sz w:val="24"/>
        </w:rPr>
        <w:t>, P.E.</w:t>
      </w:r>
      <w:r w:rsidR="00CF6E8E">
        <w:rPr>
          <w:sz w:val="24"/>
        </w:rPr>
        <w:t>,</w:t>
      </w:r>
    </w:p>
    <w:p w14:paraId="479B5E78" w14:textId="7F748962" w:rsidR="007E7A7A" w:rsidRDefault="007E7A7A">
      <w:pPr>
        <w:tabs>
          <w:tab w:val="left" w:pos="1170"/>
        </w:tabs>
        <w:rPr>
          <w:sz w:val="24"/>
        </w:rPr>
      </w:pPr>
      <w:r>
        <w:rPr>
          <w:sz w:val="24"/>
        </w:rPr>
        <w:tab/>
      </w:r>
      <w:r w:rsidR="00A36A2B">
        <w:rPr>
          <w:sz w:val="24"/>
        </w:rPr>
        <w:tab/>
        <w:t>Infrastructure Division</w:t>
      </w:r>
    </w:p>
    <w:p w14:paraId="2E83F105" w14:textId="579FDE62" w:rsidR="007E7A7A" w:rsidRDefault="007E7A7A">
      <w:pPr>
        <w:tabs>
          <w:tab w:val="left" w:pos="1170"/>
        </w:tabs>
        <w:spacing w:before="240"/>
        <w:rPr>
          <w:sz w:val="24"/>
        </w:rPr>
      </w:pPr>
      <w:r>
        <w:rPr>
          <w:b/>
          <w:sz w:val="24"/>
        </w:rPr>
        <w:t>DATE:</w:t>
      </w:r>
      <w:r>
        <w:rPr>
          <w:sz w:val="24"/>
        </w:rPr>
        <w:tab/>
      </w:r>
      <w:r w:rsidR="002B14DA">
        <w:rPr>
          <w:sz w:val="24"/>
        </w:rPr>
        <w:tab/>
      </w:r>
      <w:r w:rsidR="007C47C7">
        <w:rPr>
          <w:sz w:val="24"/>
        </w:rPr>
        <w:t>July</w:t>
      </w:r>
      <w:r w:rsidR="00CB71A9">
        <w:rPr>
          <w:sz w:val="24"/>
        </w:rPr>
        <w:t xml:space="preserve"> </w:t>
      </w:r>
      <w:r w:rsidR="007C47C7">
        <w:rPr>
          <w:sz w:val="24"/>
        </w:rPr>
        <w:t>19</w:t>
      </w:r>
      <w:r w:rsidR="009403DD">
        <w:rPr>
          <w:sz w:val="24"/>
        </w:rPr>
        <w:t>, 2</w:t>
      </w:r>
      <w:r w:rsidR="00807770">
        <w:rPr>
          <w:sz w:val="24"/>
        </w:rPr>
        <w:t>024</w:t>
      </w:r>
    </w:p>
    <w:p w14:paraId="16C214FA" w14:textId="77777777" w:rsidR="0088133C" w:rsidRDefault="0088133C">
      <w:pPr>
        <w:tabs>
          <w:tab w:val="left" w:pos="1170"/>
        </w:tabs>
        <w:spacing w:before="240"/>
        <w:rPr>
          <w:sz w:val="24"/>
        </w:rPr>
      </w:pPr>
    </w:p>
    <w:p w14:paraId="013D5096" w14:textId="0C98D2F6" w:rsidR="00673B6A" w:rsidRDefault="007E7A7A" w:rsidP="00CD1D61">
      <w:pPr>
        <w:tabs>
          <w:tab w:val="left" w:pos="1170"/>
        </w:tabs>
        <w:ind w:left="1440" w:hanging="1440"/>
        <w:jc w:val="both"/>
        <w:rPr>
          <w:i/>
          <w:sz w:val="24"/>
          <w:szCs w:val="24"/>
        </w:rPr>
      </w:pPr>
      <w:r>
        <w:rPr>
          <w:b/>
          <w:sz w:val="24"/>
        </w:rPr>
        <w:t>RE:</w:t>
      </w:r>
      <w:r>
        <w:rPr>
          <w:b/>
          <w:sz w:val="24"/>
        </w:rPr>
        <w:tab/>
      </w:r>
      <w:r w:rsidR="00A36A2B">
        <w:rPr>
          <w:b/>
          <w:sz w:val="24"/>
        </w:rPr>
        <w:tab/>
      </w:r>
      <w:r w:rsidR="00807770" w:rsidRPr="00915A86">
        <w:rPr>
          <w:sz w:val="24"/>
          <w:szCs w:val="24"/>
        </w:rPr>
        <w:t xml:space="preserve">Docket No. </w:t>
      </w:r>
      <w:r w:rsidR="003C3EAC" w:rsidRPr="003C3EAC">
        <w:rPr>
          <w:sz w:val="24"/>
          <w:szCs w:val="24"/>
        </w:rPr>
        <w:t>56735</w:t>
      </w:r>
      <w:r w:rsidR="00807770" w:rsidRPr="009439D5">
        <w:rPr>
          <w:sz w:val="24"/>
          <w:szCs w:val="24"/>
        </w:rPr>
        <w:t xml:space="preserve">, </w:t>
      </w:r>
      <w:r w:rsidR="00807770" w:rsidRPr="00C076EF">
        <w:rPr>
          <w:i/>
          <w:iCs/>
          <w:sz w:val="24"/>
          <w:szCs w:val="24"/>
        </w:rPr>
        <w:t xml:space="preserve">Application of </w:t>
      </w:r>
      <w:r w:rsidR="003C3EAC">
        <w:rPr>
          <w:i/>
          <w:iCs/>
          <w:sz w:val="24"/>
          <w:szCs w:val="24"/>
        </w:rPr>
        <w:t>Entergy Texas, Inc. for Approval of a System Resiliency Plan</w:t>
      </w:r>
    </w:p>
    <w:p w14:paraId="0CFB5209" w14:textId="77777777" w:rsidR="00CD1D61" w:rsidRDefault="00CD1D61" w:rsidP="00CD1D61">
      <w:pPr>
        <w:pBdr>
          <w:bottom w:val="single" w:sz="6" w:space="1" w:color="auto"/>
        </w:pBdr>
        <w:tabs>
          <w:tab w:val="left" w:pos="1170"/>
        </w:tabs>
        <w:ind w:left="1440" w:hanging="1440"/>
        <w:jc w:val="both"/>
        <w:rPr>
          <w:sz w:val="24"/>
        </w:rPr>
      </w:pPr>
    </w:p>
    <w:p w14:paraId="0C325494" w14:textId="77777777" w:rsidR="00CF6E8E" w:rsidRDefault="00CF6E8E" w:rsidP="005A5B32">
      <w:pPr>
        <w:tabs>
          <w:tab w:val="left" w:pos="1170"/>
        </w:tabs>
        <w:spacing w:line="360" w:lineRule="auto"/>
        <w:jc w:val="both"/>
        <w:rPr>
          <w:rFonts w:eastAsiaTheme="minorHAnsi"/>
          <w:sz w:val="24"/>
          <w:szCs w:val="24"/>
        </w:rPr>
      </w:pPr>
    </w:p>
    <w:p w14:paraId="492B1337" w14:textId="5243C03A" w:rsidR="00C37AEE" w:rsidRDefault="00807770" w:rsidP="005A5B32">
      <w:pPr>
        <w:tabs>
          <w:tab w:val="left" w:pos="1170"/>
        </w:tabs>
        <w:spacing w:line="360" w:lineRule="auto"/>
        <w:jc w:val="both"/>
        <w:rPr>
          <w:sz w:val="24"/>
        </w:rPr>
      </w:pPr>
      <w:r w:rsidRPr="00807770">
        <w:rPr>
          <w:rFonts w:eastAsiaTheme="minorHAnsi"/>
          <w:sz w:val="24"/>
          <w:szCs w:val="24"/>
        </w:rPr>
        <w:t xml:space="preserve">On </w:t>
      </w:r>
      <w:r w:rsidR="003C3EAC">
        <w:rPr>
          <w:rFonts w:eastAsiaTheme="minorHAnsi"/>
          <w:sz w:val="24"/>
          <w:szCs w:val="24"/>
        </w:rPr>
        <w:t>June</w:t>
      </w:r>
      <w:r w:rsidRPr="00807770">
        <w:rPr>
          <w:rFonts w:eastAsiaTheme="minorHAnsi"/>
          <w:sz w:val="24"/>
          <w:szCs w:val="24"/>
        </w:rPr>
        <w:t xml:space="preserve"> 21, 2024, </w:t>
      </w:r>
      <w:r w:rsidR="0083617F">
        <w:rPr>
          <w:rFonts w:eastAsiaTheme="minorHAnsi"/>
          <w:sz w:val="24"/>
          <w:szCs w:val="24"/>
        </w:rPr>
        <w:t>Entergy Texas, Inc</w:t>
      </w:r>
      <w:r w:rsidRPr="00807770">
        <w:rPr>
          <w:rFonts w:eastAsiaTheme="minorHAnsi"/>
          <w:sz w:val="24"/>
          <w:szCs w:val="24"/>
        </w:rPr>
        <w:t>. (</w:t>
      </w:r>
      <w:r w:rsidR="00704A6F">
        <w:rPr>
          <w:rFonts w:eastAsiaTheme="minorHAnsi"/>
          <w:sz w:val="24"/>
          <w:szCs w:val="24"/>
        </w:rPr>
        <w:t>Entergy</w:t>
      </w:r>
      <w:r w:rsidRPr="00807770">
        <w:rPr>
          <w:rFonts w:eastAsiaTheme="minorHAnsi"/>
          <w:sz w:val="24"/>
          <w:szCs w:val="24"/>
        </w:rPr>
        <w:t xml:space="preserve">) filed an application </w:t>
      </w:r>
      <w:r w:rsidR="00704A6F">
        <w:rPr>
          <w:rFonts w:eastAsiaTheme="minorHAnsi"/>
          <w:sz w:val="24"/>
          <w:szCs w:val="24"/>
        </w:rPr>
        <w:t>for approval of a system resiliency plan.</w:t>
      </w:r>
      <w:r w:rsidR="00704A6F" w:rsidRPr="00C37AEE">
        <w:rPr>
          <w:rFonts w:eastAsiaTheme="minorHAnsi"/>
          <w:sz w:val="24"/>
          <w:szCs w:val="24"/>
        </w:rPr>
        <w:t xml:space="preserve"> </w:t>
      </w:r>
      <w:r w:rsidR="00C37AEE" w:rsidRPr="005A5B32">
        <w:rPr>
          <w:sz w:val="24"/>
        </w:rPr>
        <w:t xml:space="preserve">I have reviewed the Application and all attachments filed by </w:t>
      </w:r>
      <w:r w:rsidR="005A5B32">
        <w:rPr>
          <w:sz w:val="24"/>
        </w:rPr>
        <w:t>Entergy</w:t>
      </w:r>
      <w:r w:rsidR="00C37AEE" w:rsidRPr="005A5B32">
        <w:rPr>
          <w:sz w:val="24"/>
        </w:rPr>
        <w:t xml:space="preserve"> in this docket for </w:t>
      </w:r>
      <w:r w:rsidR="00F10107">
        <w:rPr>
          <w:sz w:val="24"/>
        </w:rPr>
        <w:t xml:space="preserve">compliance with </w:t>
      </w:r>
      <w:r w:rsidR="005B03F8" w:rsidRPr="004A0AB1">
        <w:rPr>
          <w:sz w:val="24"/>
          <w:szCs w:val="24"/>
        </w:rPr>
        <w:t>16 Tex. Admin. Code (TAC) § 22.62</w:t>
      </w:r>
      <w:r w:rsidR="00C37AEE" w:rsidRPr="004A0AB1">
        <w:rPr>
          <w:sz w:val="24"/>
          <w:szCs w:val="24"/>
        </w:rPr>
        <w:t>.</w:t>
      </w:r>
      <w:r w:rsidR="00C37AEE" w:rsidRPr="005A5B32">
        <w:rPr>
          <w:sz w:val="24"/>
        </w:rPr>
        <w:t xml:space="preserve"> After reviewing all the filed information, </w:t>
      </w:r>
      <w:r w:rsidR="005A5B32">
        <w:rPr>
          <w:sz w:val="24"/>
        </w:rPr>
        <w:t>I found the application deficient in the following areas</w:t>
      </w:r>
      <w:r w:rsidR="005B03F8">
        <w:rPr>
          <w:sz w:val="24"/>
        </w:rPr>
        <w:t>:</w:t>
      </w:r>
    </w:p>
    <w:p w14:paraId="531B400F" w14:textId="77777777" w:rsidR="005B03F8" w:rsidRDefault="005B03F8" w:rsidP="005A5B32">
      <w:pPr>
        <w:tabs>
          <w:tab w:val="left" w:pos="1170"/>
        </w:tabs>
        <w:spacing w:line="360" w:lineRule="auto"/>
        <w:jc w:val="both"/>
        <w:rPr>
          <w:sz w:val="24"/>
        </w:rPr>
      </w:pPr>
    </w:p>
    <w:p w14:paraId="79BE155E" w14:textId="1C69D77C" w:rsidR="005B03F8" w:rsidRPr="008A0E08" w:rsidRDefault="005B03F8" w:rsidP="008A0E08">
      <w:pPr>
        <w:pStyle w:val="ListParagraph"/>
        <w:numPr>
          <w:ilvl w:val="0"/>
          <w:numId w:val="25"/>
        </w:numPr>
        <w:tabs>
          <w:tab w:val="left" w:pos="1170"/>
        </w:tabs>
        <w:spacing w:line="360" w:lineRule="auto"/>
        <w:jc w:val="both"/>
        <w:rPr>
          <w:rFonts w:eastAsiaTheme="minorHAnsi"/>
          <w:sz w:val="24"/>
          <w:szCs w:val="24"/>
        </w:rPr>
      </w:pPr>
      <w:r w:rsidRPr="008A0E08">
        <w:rPr>
          <w:rFonts w:eastAsiaTheme="minorHAnsi"/>
          <w:sz w:val="24"/>
          <w:szCs w:val="24"/>
        </w:rPr>
        <w:t>16 TAC</w:t>
      </w:r>
      <w:r w:rsidR="00146A63" w:rsidRPr="008A0E08">
        <w:rPr>
          <w:sz w:val="24"/>
          <w:szCs w:val="24"/>
        </w:rPr>
        <w:t xml:space="preserve"> §</w:t>
      </w:r>
      <w:r w:rsidRPr="008A0E08">
        <w:rPr>
          <w:rFonts w:eastAsiaTheme="minorHAnsi"/>
          <w:sz w:val="24"/>
          <w:szCs w:val="24"/>
        </w:rPr>
        <w:t xml:space="preserve"> </w:t>
      </w:r>
      <w:r w:rsidR="00A867D3" w:rsidRPr="008A0E08">
        <w:rPr>
          <w:sz w:val="24"/>
          <w:szCs w:val="24"/>
        </w:rPr>
        <w:t xml:space="preserve">25.62(c)(2) requires that the resiliency plan </w:t>
      </w:r>
      <w:r w:rsidR="00C43E14" w:rsidRPr="008A0E08">
        <w:rPr>
          <w:sz w:val="24"/>
          <w:szCs w:val="24"/>
        </w:rPr>
        <w:t xml:space="preserve">must be </w:t>
      </w:r>
      <w:r w:rsidR="004301F1" w:rsidRPr="008A0E08">
        <w:rPr>
          <w:sz w:val="24"/>
          <w:szCs w:val="24"/>
        </w:rPr>
        <w:t xml:space="preserve">“organized by measure, including a description of any activities, actions, standards, services, procedures, practices, structures, or equipment associated with each measure.” </w:t>
      </w:r>
      <w:r w:rsidR="004933D4" w:rsidRPr="008A0E08">
        <w:rPr>
          <w:sz w:val="24"/>
          <w:szCs w:val="24"/>
        </w:rPr>
        <w:t xml:space="preserve">Entergy’s application, while organized by measure, does not describe the activities, actions, services, procedures, structures, or equipment associated with each measure. Entergy’s application </w:t>
      </w:r>
      <w:r w:rsidR="002913DD" w:rsidRPr="008A0E08">
        <w:rPr>
          <w:sz w:val="24"/>
          <w:szCs w:val="24"/>
        </w:rPr>
        <w:t xml:space="preserve">also </w:t>
      </w:r>
      <w:r w:rsidR="004933D4" w:rsidRPr="008A0E08">
        <w:rPr>
          <w:sz w:val="24"/>
          <w:szCs w:val="24"/>
        </w:rPr>
        <w:t xml:space="preserve">does not </w:t>
      </w:r>
      <w:r w:rsidR="002913DD" w:rsidRPr="008A0E08">
        <w:rPr>
          <w:sz w:val="24"/>
          <w:szCs w:val="24"/>
        </w:rPr>
        <w:t xml:space="preserve">explain how it utilizes the methods in </w:t>
      </w:r>
      <w:r w:rsidR="002913DD" w:rsidRPr="008A0E08">
        <w:rPr>
          <w:rFonts w:eastAsiaTheme="minorHAnsi"/>
          <w:sz w:val="24"/>
          <w:szCs w:val="24"/>
        </w:rPr>
        <w:t>16 TAC</w:t>
      </w:r>
      <w:r w:rsidR="002913DD" w:rsidRPr="008A0E08">
        <w:rPr>
          <w:sz w:val="24"/>
          <w:szCs w:val="24"/>
        </w:rPr>
        <w:t xml:space="preserve"> §</w:t>
      </w:r>
      <w:r w:rsidR="002913DD" w:rsidRPr="008A0E08">
        <w:rPr>
          <w:rFonts w:eastAsiaTheme="minorHAnsi"/>
          <w:sz w:val="24"/>
          <w:szCs w:val="24"/>
        </w:rPr>
        <w:t xml:space="preserve"> </w:t>
      </w:r>
      <w:r w:rsidR="002913DD" w:rsidRPr="008A0E08">
        <w:rPr>
          <w:sz w:val="24"/>
          <w:szCs w:val="24"/>
        </w:rPr>
        <w:t>25.62(c)(1). Therefore, I find the application deficient in this area.</w:t>
      </w:r>
    </w:p>
    <w:p w14:paraId="1EF6BD0D" w14:textId="05AA51B3" w:rsidR="00A867D3" w:rsidRPr="004A0AB1" w:rsidRDefault="00146A63" w:rsidP="005B03F8">
      <w:pPr>
        <w:pStyle w:val="ListParagraph"/>
        <w:numPr>
          <w:ilvl w:val="0"/>
          <w:numId w:val="25"/>
        </w:numPr>
        <w:tabs>
          <w:tab w:val="left" w:pos="1170"/>
        </w:tabs>
        <w:spacing w:line="360" w:lineRule="auto"/>
        <w:jc w:val="both"/>
        <w:rPr>
          <w:rFonts w:eastAsiaTheme="minorHAnsi"/>
          <w:sz w:val="24"/>
          <w:szCs w:val="24"/>
        </w:rPr>
      </w:pPr>
      <w:r w:rsidRPr="004A0AB1">
        <w:rPr>
          <w:sz w:val="24"/>
          <w:szCs w:val="24"/>
        </w:rPr>
        <w:t xml:space="preserve">16 TAC § </w:t>
      </w:r>
      <w:r w:rsidR="004A0AB1" w:rsidRPr="004A0AB1">
        <w:rPr>
          <w:sz w:val="24"/>
          <w:szCs w:val="24"/>
        </w:rPr>
        <w:t>25.62(c)(2)(D)</w:t>
      </w:r>
      <w:r w:rsidR="004A0AB1">
        <w:rPr>
          <w:sz w:val="24"/>
          <w:szCs w:val="24"/>
        </w:rPr>
        <w:t xml:space="preserve"> requires </w:t>
      </w:r>
      <w:r w:rsidR="004A0AB1" w:rsidRPr="000C16CB">
        <w:rPr>
          <w:sz w:val="24"/>
          <w:szCs w:val="24"/>
        </w:rPr>
        <w:t xml:space="preserve">that </w:t>
      </w:r>
      <w:r w:rsidR="000C16CB" w:rsidRPr="000C16CB">
        <w:rPr>
          <w:sz w:val="24"/>
          <w:szCs w:val="24"/>
        </w:rPr>
        <w:t>“</w:t>
      </w:r>
      <w:r w:rsidR="008A0E08">
        <w:rPr>
          <w:sz w:val="24"/>
          <w:szCs w:val="24"/>
        </w:rPr>
        <w:t>i</w:t>
      </w:r>
      <w:r w:rsidR="000C16CB" w:rsidRPr="000C16CB">
        <w:rPr>
          <w:sz w:val="24"/>
          <w:szCs w:val="24"/>
        </w:rPr>
        <w:t>f a resiliency plan includes measures that are similar to other existing programs or measures, such as a storm hardening plan under §25.95 of this title (relating to Electric Utility Infrastructure Storm Hardening) or a vegetation management plan under §25.96 of this title (relating to Vegetation Management), or programs or measures otherwise required by law, the electric utility must distinguish the measures in the resiliency plan from these programs and measures and, if appropriate, explain how the related items work in conjunction with one another.”</w:t>
      </w:r>
      <w:r w:rsidR="000C16CB" w:rsidRPr="000C16CB">
        <w:rPr>
          <w:sz w:val="22"/>
          <w:szCs w:val="22"/>
        </w:rPr>
        <w:t xml:space="preserve"> </w:t>
      </w:r>
      <w:r w:rsidR="000C16CB" w:rsidRPr="006B4612">
        <w:rPr>
          <w:sz w:val="24"/>
          <w:szCs w:val="24"/>
        </w:rPr>
        <w:t xml:space="preserve">Entergy’s application lists </w:t>
      </w:r>
      <w:r w:rsidR="00E80889" w:rsidRPr="006B4612">
        <w:rPr>
          <w:sz w:val="24"/>
          <w:szCs w:val="24"/>
        </w:rPr>
        <w:t xml:space="preserve">measures </w:t>
      </w:r>
      <w:r w:rsidR="00696723" w:rsidRPr="006B4612">
        <w:rPr>
          <w:sz w:val="24"/>
          <w:szCs w:val="24"/>
        </w:rPr>
        <w:t xml:space="preserve">very similar to their </w:t>
      </w:r>
      <w:r w:rsidR="006B4612" w:rsidRPr="006B4612">
        <w:rPr>
          <w:sz w:val="24"/>
          <w:szCs w:val="24"/>
        </w:rPr>
        <w:t xml:space="preserve">Electric </w:t>
      </w:r>
      <w:r w:rsidR="006B4612" w:rsidRPr="000C16CB">
        <w:rPr>
          <w:sz w:val="24"/>
          <w:szCs w:val="24"/>
        </w:rPr>
        <w:t xml:space="preserve">Utility </w:t>
      </w:r>
      <w:r w:rsidR="006B4612" w:rsidRPr="000C16CB">
        <w:rPr>
          <w:sz w:val="24"/>
          <w:szCs w:val="24"/>
        </w:rPr>
        <w:lastRenderedPageBreak/>
        <w:t>Infrastructure Storm Hardening</w:t>
      </w:r>
      <w:r w:rsidR="006B4612">
        <w:rPr>
          <w:sz w:val="24"/>
          <w:szCs w:val="24"/>
        </w:rPr>
        <w:t xml:space="preserve"> </w:t>
      </w:r>
      <w:r w:rsidR="00A90BA2">
        <w:rPr>
          <w:sz w:val="24"/>
          <w:szCs w:val="24"/>
        </w:rPr>
        <w:t xml:space="preserve">and does not provide descriptions of the </w:t>
      </w:r>
      <w:r w:rsidR="00370385">
        <w:rPr>
          <w:sz w:val="24"/>
          <w:szCs w:val="24"/>
        </w:rPr>
        <w:t>activities</w:t>
      </w:r>
      <w:r w:rsidR="00791F25">
        <w:rPr>
          <w:sz w:val="24"/>
          <w:szCs w:val="24"/>
        </w:rPr>
        <w:t xml:space="preserve">, as also required by </w:t>
      </w:r>
      <w:r w:rsidR="00791F25" w:rsidRPr="008A0E08">
        <w:rPr>
          <w:rFonts w:eastAsiaTheme="minorHAnsi"/>
          <w:sz w:val="24"/>
          <w:szCs w:val="24"/>
        </w:rPr>
        <w:t>16 TAC</w:t>
      </w:r>
      <w:r w:rsidR="00791F25" w:rsidRPr="008A0E08">
        <w:rPr>
          <w:sz w:val="24"/>
          <w:szCs w:val="24"/>
        </w:rPr>
        <w:t xml:space="preserve"> §</w:t>
      </w:r>
      <w:r w:rsidR="00791F25" w:rsidRPr="008A0E08">
        <w:rPr>
          <w:rFonts w:eastAsiaTheme="minorHAnsi"/>
          <w:sz w:val="24"/>
          <w:szCs w:val="24"/>
        </w:rPr>
        <w:t xml:space="preserve"> </w:t>
      </w:r>
      <w:r w:rsidR="00791F25" w:rsidRPr="008A0E08">
        <w:rPr>
          <w:sz w:val="24"/>
          <w:szCs w:val="24"/>
        </w:rPr>
        <w:t>25.62(c)(2)</w:t>
      </w:r>
      <w:r w:rsidR="00370385">
        <w:rPr>
          <w:sz w:val="24"/>
          <w:szCs w:val="24"/>
        </w:rPr>
        <w:t xml:space="preserve"> to distinguish them</w:t>
      </w:r>
      <w:r w:rsidR="006B4612">
        <w:rPr>
          <w:sz w:val="24"/>
          <w:szCs w:val="24"/>
        </w:rPr>
        <w:t xml:space="preserve">. </w:t>
      </w:r>
      <w:r w:rsidR="006B4612" w:rsidRPr="008A0E08">
        <w:rPr>
          <w:sz w:val="24"/>
          <w:szCs w:val="24"/>
        </w:rPr>
        <w:t>Therefore, I find the application deficient in this area.</w:t>
      </w:r>
    </w:p>
    <w:p w14:paraId="2FE389CD" w14:textId="2BB28C77" w:rsidR="004A0AB1" w:rsidRPr="004A0AB1" w:rsidRDefault="004A0AB1" w:rsidP="005B03F8">
      <w:pPr>
        <w:pStyle w:val="ListParagraph"/>
        <w:numPr>
          <w:ilvl w:val="0"/>
          <w:numId w:val="25"/>
        </w:numPr>
        <w:tabs>
          <w:tab w:val="left" w:pos="1170"/>
        </w:tabs>
        <w:spacing w:line="360" w:lineRule="auto"/>
        <w:jc w:val="both"/>
        <w:rPr>
          <w:rFonts w:eastAsiaTheme="minorHAnsi"/>
          <w:sz w:val="24"/>
          <w:szCs w:val="24"/>
        </w:rPr>
      </w:pPr>
      <w:r w:rsidRPr="004A0AB1">
        <w:rPr>
          <w:rFonts w:eastAsiaTheme="minorHAnsi"/>
          <w:sz w:val="24"/>
          <w:szCs w:val="24"/>
        </w:rPr>
        <w:t>16 TAC</w:t>
      </w:r>
      <w:r w:rsidRPr="004A0AB1">
        <w:rPr>
          <w:sz w:val="24"/>
          <w:szCs w:val="24"/>
        </w:rPr>
        <w:t xml:space="preserve"> §</w:t>
      </w:r>
      <w:r w:rsidRPr="004A0AB1">
        <w:rPr>
          <w:rFonts w:eastAsiaTheme="minorHAnsi"/>
          <w:sz w:val="24"/>
          <w:szCs w:val="24"/>
        </w:rPr>
        <w:t xml:space="preserve"> </w:t>
      </w:r>
      <w:r w:rsidRPr="004A0AB1">
        <w:rPr>
          <w:sz w:val="24"/>
          <w:szCs w:val="24"/>
        </w:rPr>
        <w:t>25.62(c)(2)</w:t>
      </w:r>
      <w:r>
        <w:rPr>
          <w:sz w:val="24"/>
          <w:szCs w:val="24"/>
        </w:rPr>
        <w:t xml:space="preserve">(E) </w:t>
      </w:r>
      <w:r w:rsidR="00E049FA">
        <w:rPr>
          <w:sz w:val="24"/>
          <w:szCs w:val="24"/>
        </w:rPr>
        <w:t xml:space="preserve">requires that the resiliency plan </w:t>
      </w:r>
      <w:r w:rsidR="00D4756C" w:rsidRPr="00D4756C">
        <w:rPr>
          <w:sz w:val="24"/>
          <w:szCs w:val="24"/>
        </w:rPr>
        <w:t>must “provide implementation details for each of the plan’s measures, including estimated capital costs, estimated operations and maintenance expenses</w:t>
      </w:r>
      <w:r w:rsidR="00E049FA">
        <w:rPr>
          <w:sz w:val="24"/>
          <w:szCs w:val="24"/>
        </w:rPr>
        <w:t>.</w:t>
      </w:r>
      <w:r w:rsidR="00D4756C">
        <w:rPr>
          <w:sz w:val="24"/>
          <w:szCs w:val="24"/>
        </w:rPr>
        <w:t>”</w:t>
      </w:r>
      <w:r w:rsidR="00E049FA">
        <w:rPr>
          <w:sz w:val="24"/>
          <w:szCs w:val="24"/>
        </w:rPr>
        <w:t xml:space="preserve"> Entergy’s resiliency plan does not do this, outside of one footnote </w:t>
      </w:r>
      <w:r w:rsidR="001A1F05">
        <w:rPr>
          <w:sz w:val="24"/>
          <w:szCs w:val="24"/>
        </w:rPr>
        <w:t>in the testimony of</w:t>
      </w:r>
      <w:r w:rsidR="00736CC5">
        <w:rPr>
          <w:sz w:val="24"/>
          <w:szCs w:val="24"/>
        </w:rPr>
        <w:t xml:space="preserve"> Sean Meredith</w:t>
      </w:r>
      <w:r w:rsidR="00CA227E">
        <w:rPr>
          <w:sz w:val="24"/>
          <w:szCs w:val="24"/>
        </w:rPr>
        <w:t>,</w:t>
      </w:r>
      <w:r w:rsidR="00736CC5">
        <w:rPr>
          <w:rStyle w:val="FootnoteReference"/>
          <w:sz w:val="24"/>
          <w:szCs w:val="24"/>
        </w:rPr>
        <w:footnoteReference w:id="1"/>
      </w:r>
      <w:r w:rsidR="00CA227E">
        <w:rPr>
          <w:sz w:val="24"/>
          <w:szCs w:val="24"/>
        </w:rPr>
        <w:t xml:space="preserve"> however this should be broken out clearly in the application.</w:t>
      </w:r>
      <w:r w:rsidR="001A1F05">
        <w:rPr>
          <w:sz w:val="24"/>
          <w:szCs w:val="24"/>
        </w:rPr>
        <w:t xml:space="preserve"> </w:t>
      </w:r>
      <w:r w:rsidR="00CA227E">
        <w:rPr>
          <w:sz w:val="24"/>
          <w:szCs w:val="24"/>
        </w:rPr>
        <w:t>Therefore,</w:t>
      </w:r>
      <w:r w:rsidR="001A1F05">
        <w:rPr>
          <w:sz w:val="24"/>
          <w:szCs w:val="24"/>
        </w:rPr>
        <w:t xml:space="preserve"> I find the application deficient in this area.</w:t>
      </w:r>
    </w:p>
    <w:sectPr w:rsidR="004A0AB1" w:rsidRPr="004A0AB1" w:rsidSect="00551B2A">
      <w:headerReference w:type="default" r:id="rId10"/>
      <w:type w:val="continuous"/>
      <w:pgSz w:w="12240" w:h="15840"/>
      <w:pgMar w:top="252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FD33C" w14:textId="77777777" w:rsidR="005E6797" w:rsidRDefault="005E6797">
      <w:r>
        <w:separator/>
      </w:r>
    </w:p>
  </w:endnote>
  <w:endnote w:type="continuationSeparator" w:id="0">
    <w:p w14:paraId="6F1AC59B" w14:textId="77777777" w:rsidR="005E6797" w:rsidRDefault="005E6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4D373" w14:textId="34CEF813" w:rsidR="007E7A7A" w:rsidRPr="00345ED8" w:rsidRDefault="00D9534A">
    <w:pPr>
      <w:pStyle w:val="Footer"/>
      <w:rPr>
        <w:snapToGrid w:val="0"/>
      </w:rPr>
    </w:pPr>
    <w:r>
      <w:rPr>
        <w:snapToGrid w:val="0"/>
      </w:rPr>
      <w:t xml:space="preserve">Docket No. </w:t>
    </w:r>
    <w:r w:rsidR="0041511F">
      <w:rPr>
        <w:snapToGrid w:val="0"/>
      </w:rPr>
      <w:t>5</w:t>
    </w:r>
    <w:r w:rsidR="00B315B7">
      <w:rPr>
        <w:snapToGrid w:val="0"/>
      </w:rPr>
      <w:t>6</w:t>
    </w:r>
    <w:r w:rsidR="006C3E54">
      <w:rPr>
        <w:snapToGrid w:val="0"/>
      </w:rPr>
      <w:t>735</w:t>
    </w:r>
    <w:r w:rsidR="007E7A7A">
      <w:rPr>
        <w:snapToGrid w:val="0"/>
      </w:rPr>
      <w:tab/>
    </w:r>
    <w:r w:rsidR="007E7A7A">
      <w:rPr>
        <w:snapToGrid w:val="0"/>
      </w:rPr>
      <w:tab/>
      <w:t xml:space="preserve">Page </w:t>
    </w:r>
    <w:r w:rsidR="00B2366F">
      <w:rPr>
        <w:snapToGrid w:val="0"/>
      </w:rPr>
      <w:fldChar w:fldCharType="begin"/>
    </w:r>
    <w:r w:rsidR="007E7A7A">
      <w:rPr>
        <w:snapToGrid w:val="0"/>
      </w:rPr>
      <w:instrText xml:space="preserve"> PAGE </w:instrText>
    </w:r>
    <w:r w:rsidR="00B2366F">
      <w:rPr>
        <w:snapToGrid w:val="0"/>
      </w:rPr>
      <w:fldChar w:fldCharType="separate"/>
    </w:r>
    <w:r w:rsidR="00CD117D">
      <w:rPr>
        <w:noProof/>
        <w:snapToGrid w:val="0"/>
      </w:rPr>
      <w:t>1</w:t>
    </w:r>
    <w:r w:rsidR="00B2366F">
      <w:rPr>
        <w:snapToGrid w:val="0"/>
      </w:rPr>
      <w:fldChar w:fldCharType="end"/>
    </w:r>
    <w:r w:rsidR="007E7A7A">
      <w:rPr>
        <w:snapToGrid w:val="0"/>
      </w:rPr>
      <w:t xml:space="preserve"> of </w:t>
    </w:r>
    <w:r w:rsidR="00B2366F">
      <w:rPr>
        <w:snapToGrid w:val="0"/>
      </w:rPr>
      <w:fldChar w:fldCharType="begin"/>
    </w:r>
    <w:r w:rsidR="007E7A7A">
      <w:rPr>
        <w:snapToGrid w:val="0"/>
      </w:rPr>
      <w:instrText xml:space="preserve"> NUMPAGES </w:instrText>
    </w:r>
    <w:r w:rsidR="00B2366F">
      <w:rPr>
        <w:snapToGrid w:val="0"/>
      </w:rPr>
      <w:fldChar w:fldCharType="separate"/>
    </w:r>
    <w:r w:rsidR="00CD117D">
      <w:rPr>
        <w:noProof/>
        <w:snapToGrid w:val="0"/>
      </w:rPr>
      <w:t>1</w:t>
    </w:r>
    <w:r w:rsidR="00B2366F">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70AA1" w14:textId="77777777" w:rsidR="005E6797" w:rsidRDefault="005E6797">
      <w:r>
        <w:separator/>
      </w:r>
    </w:p>
  </w:footnote>
  <w:footnote w:type="continuationSeparator" w:id="0">
    <w:p w14:paraId="78B2F949" w14:textId="77777777" w:rsidR="005E6797" w:rsidRDefault="005E6797">
      <w:r>
        <w:continuationSeparator/>
      </w:r>
    </w:p>
  </w:footnote>
  <w:footnote w:id="1">
    <w:p w14:paraId="2709EB3F" w14:textId="65D724D5" w:rsidR="00736CC5" w:rsidRDefault="00736CC5" w:rsidP="00CA227E">
      <w:pPr>
        <w:pStyle w:val="FootnoteText"/>
        <w:ind w:firstLine="720"/>
      </w:pPr>
      <w:r>
        <w:rPr>
          <w:rStyle w:val="FootnoteReference"/>
        </w:rPr>
        <w:footnoteRef/>
      </w:r>
      <w:r>
        <w:t xml:space="preserve"> Direct Testimony of Sean Meredith at 10.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4BA20" w14:textId="77777777" w:rsidR="007E7A7A" w:rsidRDefault="007E7A7A">
    <w:pPr>
      <w:pStyle w:val="Header"/>
      <w:jc w:val="center"/>
      <w:rPr>
        <w:b/>
        <w:i/>
        <w:sz w:val="38"/>
      </w:rPr>
    </w:pPr>
    <w:r>
      <w:rPr>
        <w:b/>
        <w:i/>
        <w:sz w:val="38"/>
      </w:rPr>
      <w:t>Public Utility Commission of Texas</w:t>
    </w:r>
  </w:p>
  <w:p w14:paraId="62153570" w14:textId="77777777" w:rsidR="007E7A7A" w:rsidRDefault="007E7A7A">
    <w:pPr>
      <w:pStyle w:val="Header"/>
      <w:tabs>
        <w:tab w:val="clear" w:pos="4320"/>
        <w:tab w:val="left" w:pos="1800"/>
        <w:tab w:val="left" w:pos="6840"/>
      </w:tabs>
      <w:spacing w:before="120" w:after="120"/>
      <w:rPr>
        <w:b/>
        <w:sz w:val="12"/>
      </w:rPr>
    </w:pPr>
    <w:r>
      <w:rPr>
        <w:b/>
        <w:sz w:val="12"/>
      </w:rPr>
      <w:tab/>
    </w:r>
    <w:r>
      <w:rPr>
        <w:b/>
        <w:sz w:val="12"/>
        <w:u w:val="single"/>
      </w:rPr>
      <w:tab/>
    </w:r>
  </w:p>
  <w:p w14:paraId="62B00564" w14:textId="77777777" w:rsidR="007E7A7A" w:rsidRDefault="007E7A7A">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4A3B4" w14:textId="77777777" w:rsidR="007E7A7A" w:rsidRDefault="007E7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77725"/>
    <w:multiLevelType w:val="hybridMultilevel"/>
    <w:tmpl w:val="BA04A89E"/>
    <w:lvl w:ilvl="0" w:tplc="E696A2E6">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4114E9"/>
    <w:multiLevelType w:val="hybridMultilevel"/>
    <w:tmpl w:val="93EC4924"/>
    <w:lvl w:ilvl="0" w:tplc="EA0A31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AB5B8F"/>
    <w:multiLevelType w:val="hybridMultilevel"/>
    <w:tmpl w:val="5DCE43A8"/>
    <w:lvl w:ilvl="0" w:tplc="E14CD3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B397E"/>
    <w:multiLevelType w:val="hybridMultilevel"/>
    <w:tmpl w:val="A99C4D2C"/>
    <w:lvl w:ilvl="0" w:tplc="2FB2481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44A73AC"/>
    <w:multiLevelType w:val="hybridMultilevel"/>
    <w:tmpl w:val="446674AE"/>
    <w:lvl w:ilvl="0" w:tplc="64E874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827466"/>
    <w:multiLevelType w:val="hybridMultilevel"/>
    <w:tmpl w:val="C1406806"/>
    <w:lvl w:ilvl="0" w:tplc="D7C432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7837482"/>
    <w:multiLevelType w:val="hybridMultilevel"/>
    <w:tmpl w:val="39E67B48"/>
    <w:lvl w:ilvl="0" w:tplc="ED14C232">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0A66A0"/>
    <w:multiLevelType w:val="hybridMultilevel"/>
    <w:tmpl w:val="813684C2"/>
    <w:lvl w:ilvl="0" w:tplc="4704DD8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B970DB0"/>
    <w:multiLevelType w:val="hybridMultilevel"/>
    <w:tmpl w:val="6ADE5B80"/>
    <w:lvl w:ilvl="0" w:tplc="04090015">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B44DF2"/>
    <w:multiLevelType w:val="hybridMultilevel"/>
    <w:tmpl w:val="4CDC03D8"/>
    <w:lvl w:ilvl="0" w:tplc="CFD6FDB0">
      <w:start w:val="1"/>
      <w:numFmt w:val="upperRoman"/>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2735C"/>
    <w:multiLevelType w:val="hybridMultilevel"/>
    <w:tmpl w:val="0CC8D028"/>
    <w:lvl w:ilvl="0" w:tplc="F28465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840E99"/>
    <w:multiLevelType w:val="hybridMultilevel"/>
    <w:tmpl w:val="256C0C8C"/>
    <w:lvl w:ilvl="0" w:tplc="6A247B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1F7B5B"/>
    <w:multiLevelType w:val="hybridMultilevel"/>
    <w:tmpl w:val="CDFA8868"/>
    <w:lvl w:ilvl="0" w:tplc="1414A7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B02F4D"/>
    <w:multiLevelType w:val="hybridMultilevel"/>
    <w:tmpl w:val="977CFAC2"/>
    <w:lvl w:ilvl="0" w:tplc="E696A2E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B2520AA"/>
    <w:multiLevelType w:val="hybridMultilevel"/>
    <w:tmpl w:val="420E663C"/>
    <w:lvl w:ilvl="0" w:tplc="3FB8EC0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5074E8"/>
    <w:multiLevelType w:val="hybridMultilevel"/>
    <w:tmpl w:val="AA96B914"/>
    <w:lvl w:ilvl="0" w:tplc="C0260D4E">
      <w:start w:val="1"/>
      <w:numFmt w:val="upp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593D4B14"/>
    <w:multiLevelType w:val="hybridMultilevel"/>
    <w:tmpl w:val="7250C576"/>
    <w:lvl w:ilvl="0" w:tplc="0032BB7E">
      <w:start w:val="1"/>
      <w:numFmt w:val="upperRoman"/>
      <w:lvlText w:val="%1."/>
      <w:lvlJc w:val="left"/>
      <w:pPr>
        <w:ind w:left="1080" w:hanging="72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ED241E"/>
    <w:multiLevelType w:val="hybridMultilevel"/>
    <w:tmpl w:val="DD549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B41F45"/>
    <w:multiLevelType w:val="hybridMultilevel"/>
    <w:tmpl w:val="F188B8B8"/>
    <w:lvl w:ilvl="0" w:tplc="4E1299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C095509"/>
    <w:multiLevelType w:val="hybridMultilevel"/>
    <w:tmpl w:val="683430A4"/>
    <w:lvl w:ilvl="0" w:tplc="A40C1350">
      <w:start w:val="1"/>
      <w:numFmt w:val="upperRoman"/>
      <w:lvlText w:val="%1."/>
      <w:lvlJc w:val="left"/>
      <w:pPr>
        <w:ind w:left="144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4B0A26"/>
    <w:multiLevelType w:val="hybridMultilevel"/>
    <w:tmpl w:val="5A0A940A"/>
    <w:lvl w:ilvl="0" w:tplc="50320DB6">
      <w:start w:val="7"/>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0FC43D5"/>
    <w:multiLevelType w:val="hybridMultilevel"/>
    <w:tmpl w:val="FF38CCBA"/>
    <w:lvl w:ilvl="0" w:tplc="8160CCD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5FD48BD"/>
    <w:multiLevelType w:val="hybridMultilevel"/>
    <w:tmpl w:val="F19EF74E"/>
    <w:lvl w:ilvl="0" w:tplc="4BBE22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6017025">
    <w:abstractNumId w:val="10"/>
  </w:num>
  <w:num w:numId="2" w16cid:durableId="892233056">
    <w:abstractNumId w:val="5"/>
  </w:num>
  <w:num w:numId="3" w16cid:durableId="1575236117">
    <w:abstractNumId w:val="0"/>
  </w:num>
  <w:num w:numId="4" w16cid:durableId="1216090218">
    <w:abstractNumId w:val="20"/>
  </w:num>
  <w:num w:numId="5" w16cid:durableId="1175800805">
    <w:abstractNumId w:val="12"/>
  </w:num>
  <w:num w:numId="6" w16cid:durableId="1691567074">
    <w:abstractNumId w:val="19"/>
  </w:num>
  <w:num w:numId="7" w16cid:durableId="1099255653">
    <w:abstractNumId w:val="18"/>
  </w:num>
  <w:num w:numId="8" w16cid:durableId="20181475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36748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9847344">
    <w:abstractNumId w:val="11"/>
  </w:num>
  <w:num w:numId="11" w16cid:durableId="510335482">
    <w:abstractNumId w:val="15"/>
  </w:num>
  <w:num w:numId="12" w16cid:durableId="1407652659">
    <w:abstractNumId w:val="13"/>
  </w:num>
  <w:num w:numId="13" w16cid:durableId="1812016073">
    <w:abstractNumId w:val="21"/>
  </w:num>
  <w:num w:numId="14" w16cid:durableId="2089691926">
    <w:abstractNumId w:val="6"/>
  </w:num>
  <w:num w:numId="15" w16cid:durableId="1076900505">
    <w:abstractNumId w:val="2"/>
  </w:num>
  <w:num w:numId="16" w16cid:durableId="1509102863">
    <w:abstractNumId w:val="4"/>
  </w:num>
  <w:num w:numId="17" w16cid:durableId="860553484">
    <w:abstractNumId w:val="8"/>
  </w:num>
  <w:num w:numId="18" w16cid:durableId="149369268">
    <w:abstractNumId w:val="1"/>
  </w:num>
  <w:num w:numId="19" w16cid:durableId="743333854">
    <w:abstractNumId w:val="14"/>
  </w:num>
  <w:num w:numId="20" w16cid:durableId="1446314152">
    <w:abstractNumId w:val="3"/>
  </w:num>
  <w:num w:numId="21" w16cid:durableId="2075346648">
    <w:abstractNumId w:val="7"/>
  </w:num>
  <w:num w:numId="22" w16cid:durableId="5644166">
    <w:abstractNumId w:val="16"/>
  </w:num>
  <w:num w:numId="23" w16cid:durableId="288513843">
    <w:abstractNumId w:val="17"/>
  </w:num>
  <w:num w:numId="24" w16cid:durableId="1736078591">
    <w:abstractNumId w:val="22"/>
  </w:num>
  <w:num w:numId="25" w16cid:durableId="13430479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73E3"/>
    <w:rsid w:val="000046F8"/>
    <w:rsid w:val="000100BA"/>
    <w:rsid w:val="00014AAF"/>
    <w:rsid w:val="000174FF"/>
    <w:rsid w:val="00025622"/>
    <w:rsid w:val="00031E9A"/>
    <w:rsid w:val="0003681E"/>
    <w:rsid w:val="000428B8"/>
    <w:rsid w:val="00047B29"/>
    <w:rsid w:val="00060C43"/>
    <w:rsid w:val="00062219"/>
    <w:rsid w:val="00065CEB"/>
    <w:rsid w:val="00071AE0"/>
    <w:rsid w:val="00080373"/>
    <w:rsid w:val="000806DA"/>
    <w:rsid w:val="00082468"/>
    <w:rsid w:val="00090AD6"/>
    <w:rsid w:val="000A12CD"/>
    <w:rsid w:val="000A16F4"/>
    <w:rsid w:val="000B38E9"/>
    <w:rsid w:val="000B3D44"/>
    <w:rsid w:val="000C16CB"/>
    <w:rsid w:val="000C4085"/>
    <w:rsid w:val="000C5366"/>
    <w:rsid w:val="000D0564"/>
    <w:rsid w:val="000D30C8"/>
    <w:rsid w:val="000E42A1"/>
    <w:rsid w:val="000F6D05"/>
    <w:rsid w:val="00105E1B"/>
    <w:rsid w:val="00106CBD"/>
    <w:rsid w:val="001333F9"/>
    <w:rsid w:val="00137152"/>
    <w:rsid w:val="00137404"/>
    <w:rsid w:val="00146A63"/>
    <w:rsid w:val="00147AB2"/>
    <w:rsid w:val="00153D30"/>
    <w:rsid w:val="00155132"/>
    <w:rsid w:val="00160747"/>
    <w:rsid w:val="001730A4"/>
    <w:rsid w:val="001835FA"/>
    <w:rsid w:val="0019002D"/>
    <w:rsid w:val="00196562"/>
    <w:rsid w:val="001A0731"/>
    <w:rsid w:val="001A1F05"/>
    <w:rsid w:val="001A78DE"/>
    <w:rsid w:val="001B12E7"/>
    <w:rsid w:val="001B1E1F"/>
    <w:rsid w:val="001B1F3E"/>
    <w:rsid w:val="001B50AD"/>
    <w:rsid w:val="001B57E8"/>
    <w:rsid w:val="001B59FB"/>
    <w:rsid w:val="001B7C81"/>
    <w:rsid w:val="001C5DBA"/>
    <w:rsid w:val="001D3BAB"/>
    <w:rsid w:val="001E3BEE"/>
    <w:rsid w:val="001E3F9B"/>
    <w:rsid w:val="001E4AD4"/>
    <w:rsid w:val="001E4BFC"/>
    <w:rsid w:val="001E6FE7"/>
    <w:rsid w:val="001F0E4E"/>
    <w:rsid w:val="001F0F46"/>
    <w:rsid w:val="001F28B6"/>
    <w:rsid w:val="001F363C"/>
    <w:rsid w:val="00205DAB"/>
    <w:rsid w:val="00205FAC"/>
    <w:rsid w:val="0021481C"/>
    <w:rsid w:val="0021652D"/>
    <w:rsid w:val="002172AC"/>
    <w:rsid w:val="00221737"/>
    <w:rsid w:val="002237F4"/>
    <w:rsid w:val="00231127"/>
    <w:rsid w:val="00233359"/>
    <w:rsid w:val="00254BC9"/>
    <w:rsid w:val="00267AE9"/>
    <w:rsid w:val="002810F1"/>
    <w:rsid w:val="00283AB5"/>
    <w:rsid w:val="00285ED2"/>
    <w:rsid w:val="00290F5E"/>
    <w:rsid w:val="002912CB"/>
    <w:rsid w:val="002913DD"/>
    <w:rsid w:val="0029211B"/>
    <w:rsid w:val="0029573C"/>
    <w:rsid w:val="002A3ED8"/>
    <w:rsid w:val="002B0BBC"/>
    <w:rsid w:val="002B14DA"/>
    <w:rsid w:val="002B426D"/>
    <w:rsid w:val="002B475C"/>
    <w:rsid w:val="002B6C05"/>
    <w:rsid w:val="002B6E61"/>
    <w:rsid w:val="002C232D"/>
    <w:rsid w:val="002C257A"/>
    <w:rsid w:val="002C2597"/>
    <w:rsid w:val="002C64E0"/>
    <w:rsid w:val="002C693E"/>
    <w:rsid w:val="002D0D20"/>
    <w:rsid w:val="002D3E44"/>
    <w:rsid w:val="002D6D6A"/>
    <w:rsid w:val="002D73E3"/>
    <w:rsid w:val="002D79B5"/>
    <w:rsid w:val="002E1A39"/>
    <w:rsid w:val="002E4ECE"/>
    <w:rsid w:val="002F63D0"/>
    <w:rsid w:val="00305AA8"/>
    <w:rsid w:val="00307577"/>
    <w:rsid w:val="00312A8D"/>
    <w:rsid w:val="0031444C"/>
    <w:rsid w:val="0032088E"/>
    <w:rsid w:val="00321F87"/>
    <w:rsid w:val="00323D32"/>
    <w:rsid w:val="00324450"/>
    <w:rsid w:val="0032740E"/>
    <w:rsid w:val="0032756A"/>
    <w:rsid w:val="00332EC9"/>
    <w:rsid w:val="00334A20"/>
    <w:rsid w:val="003403D5"/>
    <w:rsid w:val="00341234"/>
    <w:rsid w:val="003441EE"/>
    <w:rsid w:val="00345ED8"/>
    <w:rsid w:val="003474EA"/>
    <w:rsid w:val="00350FDC"/>
    <w:rsid w:val="0035553C"/>
    <w:rsid w:val="00364795"/>
    <w:rsid w:val="00370385"/>
    <w:rsid w:val="00370E5C"/>
    <w:rsid w:val="003713FE"/>
    <w:rsid w:val="00377AD3"/>
    <w:rsid w:val="00385118"/>
    <w:rsid w:val="00393E2E"/>
    <w:rsid w:val="003A34C8"/>
    <w:rsid w:val="003B4A94"/>
    <w:rsid w:val="003C3EAC"/>
    <w:rsid w:val="003D2372"/>
    <w:rsid w:val="003D350A"/>
    <w:rsid w:val="003D3D88"/>
    <w:rsid w:val="003D7E9D"/>
    <w:rsid w:val="003F52E8"/>
    <w:rsid w:val="003F5F46"/>
    <w:rsid w:val="0040664F"/>
    <w:rsid w:val="0041511F"/>
    <w:rsid w:val="00421363"/>
    <w:rsid w:val="004300E2"/>
    <w:rsid w:val="004301F1"/>
    <w:rsid w:val="00434058"/>
    <w:rsid w:val="0044410B"/>
    <w:rsid w:val="00445385"/>
    <w:rsid w:val="00445889"/>
    <w:rsid w:val="004516EC"/>
    <w:rsid w:val="00452297"/>
    <w:rsid w:val="0046444D"/>
    <w:rsid w:val="00470B79"/>
    <w:rsid w:val="0047631E"/>
    <w:rsid w:val="00485389"/>
    <w:rsid w:val="00486065"/>
    <w:rsid w:val="00490402"/>
    <w:rsid w:val="00492837"/>
    <w:rsid w:val="004933D4"/>
    <w:rsid w:val="004936C9"/>
    <w:rsid w:val="00494D10"/>
    <w:rsid w:val="004A0AB1"/>
    <w:rsid w:val="004A563B"/>
    <w:rsid w:val="004B0020"/>
    <w:rsid w:val="004B2DB8"/>
    <w:rsid w:val="004C1A8D"/>
    <w:rsid w:val="004C27AB"/>
    <w:rsid w:val="004C3EB5"/>
    <w:rsid w:val="004C753E"/>
    <w:rsid w:val="004D6EED"/>
    <w:rsid w:val="004E3F81"/>
    <w:rsid w:val="004E53B0"/>
    <w:rsid w:val="004E6E05"/>
    <w:rsid w:val="004E7917"/>
    <w:rsid w:val="004E79EF"/>
    <w:rsid w:val="00501C45"/>
    <w:rsid w:val="00503540"/>
    <w:rsid w:val="00516564"/>
    <w:rsid w:val="005172CF"/>
    <w:rsid w:val="005205CC"/>
    <w:rsid w:val="0052417D"/>
    <w:rsid w:val="00524B69"/>
    <w:rsid w:val="00537201"/>
    <w:rsid w:val="00542F72"/>
    <w:rsid w:val="00551B2A"/>
    <w:rsid w:val="00554EC0"/>
    <w:rsid w:val="00560A8B"/>
    <w:rsid w:val="00566FEC"/>
    <w:rsid w:val="00574694"/>
    <w:rsid w:val="00574ADA"/>
    <w:rsid w:val="00585C8C"/>
    <w:rsid w:val="00595D4C"/>
    <w:rsid w:val="005A3AC4"/>
    <w:rsid w:val="005A5B32"/>
    <w:rsid w:val="005A5F35"/>
    <w:rsid w:val="005B03F8"/>
    <w:rsid w:val="005B0D00"/>
    <w:rsid w:val="005B13D5"/>
    <w:rsid w:val="005B28E9"/>
    <w:rsid w:val="005B561C"/>
    <w:rsid w:val="005B5F72"/>
    <w:rsid w:val="005C0691"/>
    <w:rsid w:val="005C3CF4"/>
    <w:rsid w:val="005C4995"/>
    <w:rsid w:val="005C5F43"/>
    <w:rsid w:val="005C7D29"/>
    <w:rsid w:val="005D11C5"/>
    <w:rsid w:val="005D1C33"/>
    <w:rsid w:val="005D67BB"/>
    <w:rsid w:val="005E3F82"/>
    <w:rsid w:val="005E488B"/>
    <w:rsid w:val="005E6797"/>
    <w:rsid w:val="00600232"/>
    <w:rsid w:val="00604C1B"/>
    <w:rsid w:val="006079E1"/>
    <w:rsid w:val="00625E70"/>
    <w:rsid w:val="006340C3"/>
    <w:rsid w:val="00647A3A"/>
    <w:rsid w:val="006505AE"/>
    <w:rsid w:val="006515CF"/>
    <w:rsid w:val="006561FA"/>
    <w:rsid w:val="006649C8"/>
    <w:rsid w:val="00670CF3"/>
    <w:rsid w:val="00672DCE"/>
    <w:rsid w:val="00673B6A"/>
    <w:rsid w:val="00681A94"/>
    <w:rsid w:val="00682589"/>
    <w:rsid w:val="00694019"/>
    <w:rsid w:val="00696723"/>
    <w:rsid w:val="00697704"/>
    <w:rsid w:val="00697D69"/>
    <w:rsid w:val="006B1A0A"/>
    <w:rsid w:val="006B229A"/>
    <w:rsid w:val="006B3FCB"/>
    <w:rsid w:val="006B4612"/>
    <w:rsid w:val="006C07B1"/>
    <w:rsid w:val="006C3002"/>
    <w:rsid w:val="006C3E54"/>
    <w:rsid w:val="006D08BD"/>
    <w:rsid w:val="006D2CD2"/>
    <w:rsid w:val="006D2D70"/>
    <w:rsid w:val="006E2696"/>
    <w:rsid w:val="006E5576"/>
    <w:rsid w:val="006E69E8"/>
    <w:rsid w:val="006E790E"/>
    <w:rsid w:val="006F07C8"/>
    <w:rsid w:val="006F170B"/>
    <w:rsid w:val="007029E7"/>
    <w:rsid w:val="00703B0C"/>
    <w:rsid w:val="00704A6F"/>
    <w:rsid w:val="00705A1E"/>
    <w:rsid w:val="00713C29"/>
    <w:rsid w:val="00713C72"/>
    <w:rsid w:val="007202D1"/>
    <w:rsid w:val="00730656"/>
    <w:rsid w:val="007334F3"/>
    <w:rsid w:val="00734851"/>
    <w:rsid w:val="00736CC5"/>
    <w:rsid w:val="00743A05"/>
    <w:rsid w:val="00744F32"/>
    <w:rsid w:val="00756A98"/>
    <w:rsid w:val="007611FD"/>
    <w:rsid w:val="00761586"/>
    <w:rsid w:val="00766F49"/>
    <w:rsid w:val="00767770"/>
    <w:rsid w:val="007705D3"/>
    <w:rsid w:val="0077670D"/>
    <w:rsid w:val="00791F25"/>
    <w:rsid w:val="00792317"/>
    <w:rsid w:val="007A4221"/>
    <w:rsid w:val="007A6340"/>
    <w:rsid w:val="007B5A89"/>
    <w:rsid w:val="007C47C7"/>
    <w:rsid w:val="007C7793"/>
    <w:rsid w:val="007D4850"/>
    <w:rsid w:val="007D4F14"/>
    <w:rsid w:val="007D6053"/>
    <w:rsid w:val="007E1B5D"/>
    <w:rsid w:val="007E4D9C"/>
    <w:rsid w:val="007E4DDB"/>
    <w:rsid w:val="007E7A7A"/>
    <w:rsid w:val="00807770"/>
    <w:rsid w:val="00813460"/>
    <w:rsid w:val="00814E31"/>
    <w:rsid w:val="00815E55"/>
    <w:rsid w:val="0082090F"/>
    <w:rsid w:val="008270DB"/>
    <w:rsid w:val="00830E96"/>
    <w:rsid w:val="00832824"/>
    <w:rsid w:val="00832A2F"/>
    <w:rsid w:val="0083617F"/>
    <w:rsid w:val="00836D18"/>
    <w:rsid w:val="00842E98"/>
    <w:rsid w:val="00851D53"/>
    <w:rsid w:val="00851E88"/>
    <w:rsid w:val="00852363"/>
    <w:rsid w:val="00856422"/>
    <w:rsid w:val="00857886"/>
    <w:rsid w:val="008613AC"/>
    <w:rsid w:val="0086290F"/>
    <w:rsid w:val="0086660D"/>
    <w:rsid w:val="00872428"/>
    <w:rsid w:val="0087322F"/>
    <w:rsid w:val="0087730A"/>
    <w:rsid w:val="00877F01"/>
    <w:rsid w:val="008801EF"/>
    <w:rsid w:val="0088133C"/>
    <w:rsid w:val="00881B9C"/>
    <w:rsid w:val="00881DFD"/>
    <w:rsid w:val="00884094"/>
    <w:rsid w:val="00890EAE"/>
    <w:rsid w:val="00895879"/>
    <w:rsid w:val="00897F69"/>
    <w:rsid w:val="008A0E08"/>
    <w:rsid w:val="008A3656"/>
    <w:rsid w:val="008A69C5"/>
    <w:rsid w:val="008A75CF"/>
    <w:rsid w:val="008B1591"/>
    <w:rsid w:val="008B1A75"/>
    <w:rsid w:val="008C113A"/>
    <w:rsid w:val="008D2CE2"/>
    <w:rsid w:val="008E03B9"/>
    <w:rsid w:val="008E2854"/>
    <w:rsid w:val="008E68E2"/>
    <w:rsid w:val="008E790A"/>
    <w:rsid w:val="008F20EF"/>
    <w:rsid w:val="009061A9"/>
    <w:rsid w:val="0091074A"/>
    <w:rsid w:val="00915A33"/>
    <w:rsid w:val="00924C01"/>
    <w:rsid w:val="009403DD"/>
    <w:rsid w:val="0095146F"/>
    <w:rsid w:val="0095437F"/>
    <w:rsid w:val="0095520A"/>
    <w:rsid w:val="009554BD"/>
    <w:rsid w:val="009576F9"/>
    <w:rsid w:val="00965283"/>
    <w:rsid w:val="0096769A"/>
    <w:rsid w:val="00967E8D"/>
    <w:rsid w:val="009710A2"/>
    <w:rsid w:val="00975F34"/>
    <w:rsid w:val="00980E07"/>
    <w:rsid w:val="00982457"/>
    <w:rsid w:val="0098509B"/>
    <w:rsid w:val="009859F1"/>
    <w:rsid w:val="00985BC3"/>
    <w:rsid w:val="00986A48"/>
    <w:rsid w:val="009A0CD9"/>
    <w:rsid w:val="009A154A"/>
    <w:rsid w:val="009A55DD"/>
    <w:rsid w:val="009B28F4"/>
    <w:rsid w:val="009B5EA7"/>
    <w:rsid w:val="009B6CA5"/>
    <w:rsid w:val="009B6FB9"/>
    <w:rsid w:val="009B7B68"/>
    <w:rsid w:val="009C30EB"/>
    <w:rsid w:val="009C7B1A"/>
    <w:rsid w:val="009D0B6F"/>
    <w:rsid w:val="009F1EC4"/>
    <w:rsid w:val="009F51EE"/>
    <w:rsid w:val="009F6D7E"/>
    <w:rsid w:val="00A03DF5"/>
    <w:rsid w:val="00A05E5A"/>
    <w:rsid w:val="00A06160"/>
    <w:rsid w:val="00A0708D"/>
    <w:rsid w:val="00A07658"/>
    <w:rsid w:val="00A12A63"/>
    <w:rsid w:val="00A16B5C"/>
    <w:rsid w:val="00A2082D"/>
    <w:rsid w:val="00A2276F"/>
    <w:rsid w:val="00A25FC9"/>
    <w:rsid w:val="00A267DD"/>
    <w:rsid w:val="00A34BA3"/>
    <w:rsid w:val="00A35ACE"/>
    <w:rsid w:val="00A36A2B"/>
    <w:rsid w:val="00A40F24"/>
    <w:rsid w:val="00A431B6"/>
    <w:rsid w:val="00A50D04"/>
    <w:rsid w:val="00A50D75"/>
    <w:rsid w:val="00A52C3B"/>
    <w:rsid w:val="00A5548E"/>
    <w:rsid w:val="00A5775D"/>
    <w:rsid w:val="00A666DC"/>
    <w:rsid w:val="00A66C96"/>
    <w:rsid w:val="00A706C1"/>
    <w:rsid w:val="00A708CB"/>
    <w:rsid w:val="00A72313"/>
    <w:rsid w:val="00A735C2"/>
    <w:rsid w:val="00A832B8"/>
    <w:rsid w:val="00A862E4"/>
    <w:rsid w:val="00A867D3"/>
    <w:rsid w:val="00A90724"/>
    <w:rsid w:val="00A90BA2"/>
    <w:rsid w:val="00A93571"/>
    <w:rsid w:val="00A942B4"/>
    <w:rsid w:val="00A94EEC"/>
    <w:rsid w:val="00A9534E"/>
    <w:rsid w:val="00A975B1"/>
    <w:rsid w:val="00AA580B"/>
    <w:rsid w:val="00AB1A9B"/>
    <w:rsid w:val="00AB4BD4"/>
    <w:rsid w:val="00AC795B"/>
    <w:rsid w:val="00AD239C"/>
    <w:rsid w:val="00AE153F"/>
    <w:rsid w:val="00AE1A75"/>
    <w:rsid w:val="00AE3BF2"/>
    <w:rsid w:val="00AE3C55"/>
    <w:rsid w:val="00AF2C6E"/>
    <w:rsid w:val="00AF3311"/>
    <w:rsid w:val="00AF572B"/>
    <w:rsid w:val="00AF7AB1"/>
    <w:rsid w:val="00B0142C"/>
    <w:rsid w:val="00B11DCA"/>
    <w:rsid w:val="00B1673B"/>
    <w:rsid w:val="00B2062E"/>
    <w:rsid w:val="00B2366F"/>
    <w:rsid w:val="00B272E0"/>
    <w:rsid w:val="00B315B7"/>
    <w:rsid w:val="00B33CBF"/>
    <w:rsid w:val="00B34EA7"/>
    <w:rsid w:val="00B419E5"/>
    <w:rsid w:val="00B42C6D"/>
    <w:rsid w:val="00B44516"/>
    <w:rsid w:val="00B52FBF"/>
    <w:rsid w:val="00B57330"/>
    <w:rsid w:val="00B60115"/>
    <w:rsid w:val="00B63789"/>
    <w:rsid w:val="00B70521"/>
    <w:rsid w:val="00B75214"/>
    <w:rsid w:val="00B868A0"/>
    <w:rsid w:val="00B90BA3"/>
    <w:rsid w:val="00B94B9F"/>
    <w:rsid w:val="00B961DA"/>
    <w:rsid w:val="00BA264B"/>
    <w:rsid w:val="00BA30A1"/>
    <w:rsid w:val="00BA5775"/>
    <w:rsid w:val="00BA7C18"/>
    <w:rsid w:val="00BB0989"/>
    <w:rsid w:val="00BB16B4"/>
    <w:rsid w:val="00BB5C18"/>
    <w:rsid w:val="00BB7C82"/>
    <w:rsid w:val="00BC3B44"/>
    <w:rsid w:val="00BD0399"/>
    <w:rsid w:val="00BD35DD"/>
    <w:rsid w:val="00BD3D34"/>
    <w:rsid w:val="00BD56F7"/>
    <w:rsid w:val="00BD5E51"/>
    <w:rsid w:val="00BE1CF8"/>
    <w:rsid w:val="00BE371D"/>
    <w:rsid w:val="00BE506D"/>
    <w:rsid w:val="00BF3A17"/>
    <w:rsid w:val="00BF4E06"/>
    <w:rsid w:val="00C01777"/>
    <w:rsid w:val="00C05276"/>
    <w:rsid w:val="00C05CDF"/>
    <w:rsid w:val="00C10BCA"/>
    <w:rsid w:val="00C1562A"/>
    <w:rsid w:val="00C276B0"/>
    <w:rsid w:val="00C277BF"/>
    <w:rsid w:val="00C35030"/>
    <w:rsid w:val="00C37692"/>
    <w:rsid w:val="00C37AEE"/>
    <w:rsid w:val="00C43E14"/>
    <w:rsid w:val="00C51B92"/>
    <w:rsid w:val="00C6533B"/>
    <w:rsid w:val="00C676E3"/>
    <w:rsid w:val="00C755ED"/>
    <w:rsid w:val="00C75B70"/>
    <w:rsid w:val="00C81891"/>
    <w:rsid w:val="00C91DBB"/>
    <w:rsid w:val="00C93385"/>
    <w:rsid w:val="00C967F0"/>
    <w:rsid w:val="00CA227E"/>
    <w:rsid w:val="00CA3341"/>
    <w:rsid w:val="00CA3EA6"/>
    <w:rsid w:val="00CA56CF"/>
    <w:rsid w:val="00CA6F94"/>
    <w:rsid w:val="00CB71A9"/>
    <w:rsid w:val="00CC0A25"/>
    <w:rsid w:val="00CC5878"/>
    <w:rsid w:val="00CD117D"/>
    <w:rsid w:val="00CD1D61"/>
    <w:rsid w:val="00CD398E"/>
    <w:rsid w:val="00CD6488"/>
    <w:rsid w:val="00CE1DA9"/>
    <w:rsid w:val="00CF4A04"/>
    <w:rsid w:val="00CF6BA6"/>
    <w:rsid w:val="00CF6D8B"/>
    <w:rsid w:val="00CF6E8E"/>
    <w:rsid w:val="00CF78AB"/>
    <w:rsid w:val="00D0319A"/>
    <w:rsid w:val="00D115B0"/>
    <w:rsid w:val="00D1228D"/>
    <w:rsid w:val="00D15DCE"/>
    <w:rsid w:val="00D21DA0"/>
    <w:rsid w:val="00D2235E"/>
    <w:rsid w:val="00D25554"/>
    <w:rsid w:val="00D26AA9"/>
    <w:rsid w:val="00D37137"/>
    <w:rsid w:val="00D4756C"/>
    <w:rsid w:val="00D5239D"/>
    <w:rsid w:val="00D52A22"/>
    <w:rsid w:val="00D56026"/>
    <w:rsid w:val="00D56EB3"/>
    <w:rsid w:val="00D57010"/>
    <w:rsid w:val="00D62E1A"/>
    <w:rsid w:val="00D759DB"/>
    <w:rsid w:val="00D77D26"/>
    <w:rsid w:val="00D80EF9"/>
    <w:rsid w:val="00D86DCA"/>
    <w:rsid w:val="00D90A19"/>
    <w:rsid w:val="00D9534A"/>
    <w:rsid w:val="00DA6ABC"/>
    <w:rsid w:val="00DB0820"/>
    <w:rsid w:val="00DB2163"/>
    <w:rsid w:val="00DB2653"/>
    <w:rsid w:val="00DB3BD3"/>
    <w:rsid w:val="00DB42EF"/>
    <w:rsid w:val="00DC3ABD"/>
    <w:rsid w:val="00DC4479"/>
    <w:rsid w:val="00DC7C33"/>
    <w:rsid w:val="00DD2A1B"/>
    <w:rsid w:val="00DD57A5"/>
    <w:rsid w:val="00DD5F07"/>
    <w:rsid w:val="00DE1592"/>
    <w:rsid w:val="00DE73C2"/>
    <w:rsid w:val="00DF5744"/>
    <w:rsid w:val="00DF715C"/>
    <w:rsid w:val="00DF75C5"/>
    <w:rsid w:val="00E049FA"/>
    <w:rsid w:val="00E051D9"/>
    <w:rsid w:val="00E126EF"/>
    <w:rsid w:val="00E204BE"/>
    <w:rsid w:val="00E22036"/>
    <w:rsid w:val="00E25452"/>
    <w:rsid w:val="00E315EC"/>
    <w:rsid w:val="00E338C1"/>
    <w:rsid w:val="00E3401B"/>
    <w:rsid w:val="00E45B9C"/>
    <w:rsid w:val="00E461DC"/>
    <w:rsid w:val="00E52EC0"/>
    <w:rsid w:val="00E5435E"/>
    <w:rsid w:val="00E67781"/>
    <w:rsid w:val="00E755D5"/>
    <w:rsid w:val="00E76295"/>
    <w:rsid w:val="00E804B3"/>
    <w:rsid w:val="00E80889"/>
    <w:rsid w:val="00E948BA"/>
    <w:rsid w:val="00EA1E52"/>
    <w:rsid w:val="00EA4C02"/>
    <w:rsid w:val="00EB031A"/>
    <w:rsid w:val="00EB4062"/>
    <w:rsid w:val="00EB582E"/>
    <w:rsid w:val="00EC3400"/>
    <w:rsid w:val="00EC72DA"/>
    <w:rsid w:val="00ED123A"/>
    <w:rsid w:val="00ED3C1C"/>
    <w:rsid w:val="00ED4658"/>
    <w:rsid w:val="00EE325D"/>
    <w:rsid w:val="00EE4271"/>
    <w:rsid w:val="00EF36B1"/>
    <w:rsid w:val="00EF3A95"/>
    <w:rsid w:val="00EF4BAE"/>
    <w:rsid w:val="00EF6E02"/>
    <w:rsid w:val="00F10107"/>
    <w:rsid w:val="00F10809"/>
    <w:rsid w:val="00F1109B"/>
    <w:rsid w:val="00F117EA"/>
    <w:rsid w:val="00F228CD"/>
    <w:rsid w:val="00F24A05"/>
    <w:rsid w:val="00F2617F"/>
    <w:rsid w:val="00F43CA2"/>
    <w:rsid w:val="00F55D05"/>
    <w:rsid w:val="00F57913"/>
    <w:rsid w:val="00F631C1"/>
    <w:rsid w:val="00F668BC"/>
    <w:rsid w:val="00F72B57"/>
    <w:rsid w:val="00F72C90"/>
    <w:rsid w:val="00F76B41"/>
    <w:rsid w:val="00F777B6"/>
    <w:rsid w:val="00F77F32"/>
    <w:rsid w:val="00F81F7F"/>
    <w:rsid w:val="00F8702A"/>
    <w:rsid w:val="00F903BF"/>
    <w:rsid w:val="00F939DA"/>
    <w:rsid w:val="00F96025"/>
    <w:rsid w:val="00F9668D"/>
    <w:rsid w:val="00F97208"/>
    <w:rsid w:val="00F974AC"/>
    <w:rsid w:val="00FA0C2B"/>
    <w:rsid w:val="00FB0D99"/>
    <w:rsid w:val="00FB36C7"/>
    <w:rsid w:val="00FC07EB"/>
    <w:rsid w:val="00FC2CB7"/>
    <w:rsid w:val="00FC780E"/>
    <w:rsid w:val="00FD0CC1"/>
    <w:rsid w:val="00FD4E10"/>
    <w:rsid w:val="00FD694F"/>
    <w:rsid w:val="00FE264C"/>
    <w:rsid w:val="00FE7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9780F2"/>
  <w15:docId w15:val="{4D7C0593-08CF-4AA5-A084-5EE8D7143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1B2A"/>
  </w:style>
  <w:style w:type="paragraph" w:styleId="Heading1">
    <w:name w:val="heading 1"/>
    <w:basedOn w:val="Normal"/>
    <w:next w:val="Normal"/>
    <w:qFormat/>
    <w:rsid w:val="00551B2A"/>
    <w:pPr>
      <w:keepNext/>
      <w:tabs>
        <w:tab w:val="left" w:pos="1170"/>
      </w:tabs>
      <w:outlineLvl w:val="0"/>
    </w:pPr>
    <w:rPr>
      <w:sz w:val="24"/>
    </w:rPr>
  </w:style>
  <w:style w:type="paragraph" w:styleId="Heading2">
    <w:name w:val="heading 2"/>
    <w:basedOn w:val="Normal"/>
    <w:next w:val="Normal"/>
    <w:qFormat/>
    <w:rsid w:val="00551B2A"/>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51B2A"/>
    <w:pPr>
      <w:tabs>
        <w:tab w:val="center" w:pos="4320"/>
        <w:tab w:val="right" w:pos="8640"/>
      </w:tabs>
    </w:pPr>
  </w:style>
  <w:style w:type="paragraph" w:styleId="Footer">
    <w:name w:val="footer"/>
    <w:basedOn w:val="Normal"/>
    <w:rsid w:val="00551B2A"/>
    <w:pPr>
      <w:tabs>
        <w:tab w:val="center" w:pos="4320"/>
        <w:tab w:val="right" w:pos="8640"/>
      </w:tabs>
    </w:pPr>
  </w:style>
  <w:style w:type="paragraph" w:styleId="BodyText">
    <w:name w:val="Body Text"/>
    <w:basedOn w:val="Normal"/>
    <w:rsid w:val="00551B2A"/>
    <w:pPr>
      <w:tabs>
        <w:tab w:val="left" w:pos="1170"/>
      </w:tabs>
      <w:jc w:val="both"/>
    </w:pPr>
    <w:rPr>
      <w:sz w:val="24"/>
    </w:rPr>
  </w:style>
  <w:style w:type="paragraph" w:styleId="ListParagraph">
    <w:name w:val="List Paragraph"/>
    <w:basedOn w:val="Normal"/>
    <w:uiPriority w:val="34"/>
    <w:qFormat/>
    <w:rsid w:val="002B0BBC"/>
    <w:pPr>
      <w:ind w:left="720"/>
      <w:contextualSpacing/>
    </w:pPr>
  </w:style>
  <w:style w:type="paragraph" w:styleId="BalloonText">
    <w:name w:val="Balloon Text"/>
    <w:basedOn w:val="Normal"/>
    <w:link w:val="BalloonTextChar"/>
    <w:semiHidden/>
    <w:unhideWhenUsed/>
    <w:rsid w:val="00C35030"/>
    <w:rPr>
      <w:rFonts w:ascii="Segoe UI" w:hAnsi="Segoe UI" w:cs="Segoe UI"/>
      <w:sz w:val="18"/>
      <w:szCs w:val="18"/>
    </w:rPr>
  </w:style>
  <w:style w:type="character" w:customStyle="1" w:styleId="BalloonTextChar">
    <w:name w:val="Balloon Text Char"/>
    <w:basedOn w:val="DefaultParagraphFont"/>
    <w:link w:val="BalloonText"/>
    <w:semiHidden/>
    <w:rsid w:val="00C35030"/>
    <w:rPr>
      <w:rFonts w:ascii="Segoe UI" w:hAnsi="Segoe UI" w:cs="Segoe UI"/>
      <w:sz w:val="18"/>
      <w:szCs w:val="18"/>
    </w:rPr>
  </w:style>
  <w:style w:type="paragraph" w:styleId="FootnoteText">
    <w:name w:val="footnote text"/>
    <w:basedOn w:val="Normal"/>
    <w:link w:val="FootnoteTextChar"/>
    <w:uiPriority w:val="99"/>
    <w:semiHidden/>
    <w:unhideWhenUsed/>
    <w:rsid w:val="00FD4E10"/>
  </w:style>
  <w:style w:type="character" w:customStyle="1" w:styleId="FootnoteTextChar">
    <w:name w:val="Footnote Text Char"/>
    <w:basedOn w:val="DefaultParagraphFont"/>
    <w:link w:val="FootnoteText"/>
    <w:uiPriority w:val="99"/>
    <w:semiHidden/>
    <w:rsid w:val="00FD4E10"/>
  </w:style>
  <w:style w:type="character" w:styleId="FootnoteReference">
    <w:name w:val="footnote reference"/>
    <w:basedOn w:val="DefaultParagraphFont"/>
    <w:uiPriority w:val="99"/>
    <w:semiHidden/>
    <w:unhideWhenUsed/>
    <w:rsid w:val="00FD4E10"/>
    <w:rPr>
      <w:vertAlign w:val="superscript"/>
    </w:rPr>
  </w:style>
  <w:style w:type="character" w:styleId="CommentReference">
    <w:name w:val="annotation reference"/>
    <w:basedOn w:val="DefaultParagraphFont"/>
    <w:semiHidden/>
    <w:unhideWhenUsed/>
    <w:rsid w:val="008E2854"/>
    <w:rPr>
      <w:sz w:val="16"/>
      <w:szCs w:val="16"/>
    </w:rPr>
  </w:style>
  <w:style w:type="paragraph" w:styleId="CommentText">
    <w:name w:val="annotation text"/>
    <w:basedOn w:val="Normal"/>
    <w:link w:val="CommentTextChar"/>
    <w:semiHidden/>
    <w:unhideWhenUsed/>
    <w:rsid w:val="008E2854"/>
  </w:style>
  <w:style w:type="character" w:customStyle="1" w:styleId="CommentTextChar">
    <w:name w:val="Comment Text Char"/>
    <w:basedOn w:val="DefaultParagraphFont"/>
    <w:link w:val="CommentText"/>
    <w:semiHidden/>
    <w:rsid w:val="008E2854"/>
  </w:style>
  <w:style w:type="paragraph" w:styleId="CommentSubject">
    <w:name w:val="annotation subject"/>
    <w:basedOn w:val="CommentText"/>
    <w:next w:val="CommentText"/>
    <w:link w:val="CommentSubjectChar"/>
    <w:semiHidden/>
    <w:unhideWhenUsed/>
    <w:rsid w:val="008E2854"/>
    <w:rPr>
      <w:b/>
      <w:bCs/>
    </w:rPr>
  </w:style>
  <w:style w:type="character" w:customStyle="1" w:styleId="CommentSubjectChar">
    <w:name w:val="Comment Subject Char"/>
    <w:basedOn w:val="CommentTextChar"/>
    <w:link w:val="CommentSubject"/>
    <w:semiHidden/>
    <w:rsid w:val="008E2854"/>
    <w:rPr>
      <w:b/>
      <w:bCs/>
    </w:rPr>
  </w:style>
  <w:style w:type="paragraph" w:styleId="Revision">
    <w:name w:val="Revision"/>
    <w:hidden/>
    <w:uiPriority w:val="99"/>
    <w:semiHidden/>
    <w:rsid w:val="00CF6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60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71E7C-0E76-4BEC-97EB-223F388DA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365</Words>
  <Characters>2077</Characters>
  <Application>Microsoft Office Word</Application>
  <DocSecurity>0</DocSecurity>
  <Lines>74</Lines>
  <Paragraphs>46</Paragraphs>
  <ScaleCrop>false</ScaleCrop>
  <HeadingPairs>
    <vt:vector size="2" baseType="variant">
      <vt:variant>
        <vt:lpstr>Title</vt:lpstr>
      </vt:variant>
      <vt:variant>
        <vt:i4>1</vt:i4>
      </vt:variant>
    </vt:vector>
  </HeadingPairs>
  <TitlesOfParts>
    <vt:vector size="1" baseType="lpstr">
      <vt:lpstr>TO:</vt:lpstr>
    </vt:vector>
  </TitlesOfParts>
  <Company>Public Utility Commission of Texas</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kmathis</dc:creator>
  <cp:keywords/>
  <dc:description/>
  <cp:lastModifiedBy>Dylan King</cp:lastModifiedBy>
  <cp:revision>2</cp:revision>
  <cp:lastPrinted>2017-02-27T15:42:00Z</cp:lastPrinted>
  <dcterms:created xsi:type="dcterms:W3CDTF">2024-07-19T17:19:00Z</dcterms:created>
  <dcterms:modified xsi:type="dcterms:W3CDTF">2024-07-19T17:19:00Z</dcterms:modified>
</cp:coreProperties>
</file>